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C8EE" w14:textId="77777777" w:rsidR="00825628" w:rsidRPr="00825628" w:rsidRDefault="00825628" w:rsidP="00825628">
      <w:pPr>
        <w:pStyle w:val="Nzov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99313956"/>
      <w:bookmarkStart w:id="1" w:name="_Hlk199313923"/>
      <w:r w:rsidRPr="00825628">
        <w:rPr>
          <w:rFonts w:ascii="Times New Roman" w:hAnsi="Times New Roman" w:cs="Times New Roman"/>
          <w:b/>
          <w:bCs/>
          <w:sz w:val="32"/>
          <w:szCs w:val="32"/>
        </w:rPr>
        <w:t xml:space="preserve">M E S T O  Š A Ľ A  -  Mestský úrad a Útvar hlavného kontrolóra </w:t>
      </w:r>
    </w:p>
    <w:bookmarkEnd w:id="0"/>
    <w:p w14:paraId="2AD53478" w14:textId="77777777" w:rsidR="00825628" w:rsidRDefault="00825628" w:rsidP="00825628"/>
    <w:p w14:paraId="504AA98C" w14:textId="77777777" w:rsidR="00825628" w:rsidRDefault="00825628" w:rsidP="00825628"/>
    <w:p w14:paraId="5B574469" w14:textId="77777777" w:rsidR="00825628" w:rsidRDefault="00825628" w:rsidP="00825628"/>
    <w:p w14:paraId="3DE86735" w14:textId="77777777" w:rsidR="00825628" w:rsidRDefault="00825628" w:rsidP="00825628">
      <w:pPr>
        <w:pStyle w:val="Nadpis1"/>
        <w:spacing w:before="0" w:after="0"/>
        <w:rPr>
          <w:sz w:val="24"/>
          <w:szCs w:val="24"/>
        </w:rPr>
      </w:pPr>
    </w:p>
    <w:p w14:paraId="17CC27C9" w14:textId="77777777" w:rsidR="00825628" w:rsidRPr="00825628" w:rsidRDefault="00825628" w:rsidP="00825628">
      <w:pPr>
        <w:pStyle w:val="Nadpis1"/>
        <w:jc w:val="righ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825628">
        <w:rPr>
          <w:rFonts w:ascii="Times New Roman" w:hAnsi="Times New Roman" w:cs="Times New Roman"/>
          <w:b/>
          <w:bCs/>
          <w:color w:val="auto"/>
          <w:sz w:val="32"/>
          <w:szCs w:val="32"/>
        </w:rPr>
        <w:t>Mestské zastupiteľstvo v Šali</w:t>
      </w:r>
    </w:p>
    <w:p w14:paraId="0E1F0118" w14:textId="77777777" w:rsidR="00825628" w:rsidRDefault="00825628" w:rsidP="00825628"/>
    <w:p w14:paraId="5679BC9A" w14:textId="77777777" w:rsidR="00825628" w:rsidRDefault="00825628" w:rsidP="00825628"/>
    <w:p w14:paraId="17453358" w14:textId="77777777" w:rsidR="00825628" w:rsidRDefault="00825628" w:rsidP="00825628"/>
    <w:p w14:paraId="54CF70D0" w14:textId="77777777" w:rsidR="00825628" w:rsidRDefault="00825628" w:rsidP="00825628"/>
    <w:p w14:paraId="3527BE18" w14:textId="77777777" w:rsidR="00825628" w:rsidRDefault="00825628" w:rsidP="00825628"/>
    <w:p w14:paraId="50B47316" w14:textId="77777777" w:rsidR="00825628" w:rsidRDefault="00825628" w:rsidP="00825628"/>
    <w:p w14:paraId="35B00110" w14:textId="77777777" w:rsidR="00825628" w:rsidRDefault="00825628" w:rsidP="00825628">
      <w:pPr>
        <w:rPr>
          <w:b/>
        </w:rPr>
      </w:pPr>
      <w:r>
        <w:rPr>
          <w:b/>
        </w:rPr>
        <w:t>Materiál číslo:</w:t>
      </w:r>
    </w:p>
    <w:p w14:paraId="3C259622" w14:textId="77777777" w:rsidR="00825628" w:rsidRDefault="00825628" w:rsidP="00825628">
      <w:pPr>
        <w:jc w:val="both"/>
        <w:rPr>
          <w:sz w:val="28"/>
          <w:u w:val="single"/>
        </w:rPr>
      </w:pPr>
      <w:r>
        <w:rPr>
          <w:b/>
          <w:sz w:val="28"/>
          <w:u w:val="single"/>
        </w:rPr>
        <w:t>Záverečný účet mesta Šaľa, rozpočtových organizácií a príspevkovej organizácie v zriaďovateľskej pôsobnosti mesta Šaľa za rok 2025</w:t>
      </w:r>
    </w:p>
    <w:p w14:paraId="08FD6F98" w14:textId="77777777" w:rsidR="00825628" w:rsidRDefault="00825628" w:rsidP="00825628">
      <w:pPr>
        <w:widowControl w:val="0"/>
        <w:suppressAutoHyphens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Odborné stanovisko hlavnej kontrolórky k návrhu záverečného účtu mesta Šaľa za rok 2025 </w:t>
      </w:r>
    </w:p>
    <w:p w14:paraId="7DAEDA81" w14:textId="77777777" w:rsidR="00825628" w:rsidRDefault="00825628" w:rsidP="00825628"/>
    <w:p w14:paraId="38018139" w14:textId="77777777" w:rsidR="00825628" w:rsidRDefault="00825628" w:rsidP="00825628"/>
    <w:p w14:paraId="2CC73303" w14:textId="77777777" w:rsidR="00825628" w:rsidRDefault="00825628" w:rsidP="00825628"/>
    <w:p w14:paraId="70FCC29E" w14:textId="77777777" w:rsidR="00825628" w:rsidRDefault="00825628" w:rsidP="00825628"/>
    <w:p w14:paraId="2BC32102" w14:textId="77777777" w:rsidR="00825628" w:rsidRDefault="00825628" w:rsidP="00825628">
      <w:pPr>
        <w:jc w:val="center"/>
        <w:rPr>
          <w:b/>
          <w:color w:val="000000"/>
          <w:sz w:val="28"/>
          <w:szCs w:val="28"/>
          <w:u w:val="single"/>
        </w:rPr>
      </w:pPr>
    </w:p>
    <w:p w14:paraId="77D61C12" w14:textId="77777777" w:rsidR="00825628" w:rsidRDefault="00825628" w:rsidP="00825628">
      <w:pPr>
        <w:jc w:val="both"/>
        <w:rPr>
          <w:bCs/>
          <w:u w:val="single"/>
        </w:rPr>
      </w:pPr>
      <w:r>
        <w:rPr>
          <w:bCs/>
          <w:u w:val="single"/>
        </w:rPr>
        <w:t>Návrh na uznesenie:</w:t>
      </w:r>
    </w:p>
    <w:p w14:paraId="6BFFD047" w14:textId="77777777" w:rsidR="00825628" w:rsidRDefault="00825628" w:rsidP="00825628">
      <w:pPr>
        <w:jc w:val="both"/>
        <w:rPr>
          <w:bCs/>
          <w:u w:val="single"/>
        </w:rPr>
      </w:pPr>
    </w:p>
    <w:p w14:paraId="4FE629CE" w14:textId="77777777" w:rsidR="00825628" w:rsidRDefault="00825628" w:rsidP="00825628">
      <w:pPr>
        <w:jc w:val="both"/>
      </w:pPr>
      <w:r>
        <w:t>Mestské zastupiteľstvo v Šali</w:t>
      </w:r>
    </w:p>
    <w:p w14:paraId="4BDEA0F9" w14:textId="77777777" w:rsidR="00825628" w:rsidRDefault="00825628" w:rsidP="0082562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prerokovalo</w:t>
      </w:r>
    </w:p>
    <w:p w14:paraId="36D241D4" w14:textId="77777777" w:rsidR="00825628" w:rsidRDefault="00825628" w:rsidP="00825628">
      <w:pPr>
        <w:ind w:left="360"/>
        <w:jc w:val="both"/>
        <w:rPr>
          <w:b/>
        </w:rPr>
      </w:pPr>
      <w:r>
        <w:t>záverečný účet mesta Šaľa, rozpočtových organizácií a príspevkovej organizácie v zriaďovateľskej pôsobnosti mesta Šaľa za rok 2025,</w:t>
      </w:r>
    </w:p>
    <w:p w14:paraId="3B3445E5" w14:textId="77777777" w:rsidR="00825628" w:rsidRDefault="00825628" w:rsidP="0082562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schvaľuje</w:t>
      </w:r>
    </w:p>
    <w:p w14:paraId="5F6A40E6" w14:textId="77777777" w:rsidR="00825628" w:rsidRDefault="00825628" w:rsidP="00825628">
      <w:pPr>
        <w:ind w:left="360"/>
        <w:jc w:val="both"/>
      </w:pPr>
      <w:r>
        <w:t>záverečný účet mesta Šaľa, rozpočtových organizácií a príspevkovej organizácie v zriaďovateľskej pôsobnosti mesta Šaľa za rok 2025 nasledovne:</w:t>
      </w:r>
    </w:p>
    <w:p w14:paraId="0A48A82D" w14:textId="77777777" w:rsidR="00825628" w:rsidRDefault="00825628" w:rsidP="00825628">
      <w:pPr>
        <w:ind w:left="360"/>
        <w:jc w:val="both"/>
        <w:rPr>
          <w:b/>
        </w:rPr>
      </w:pPr>
    </w:p>
    <w:p w14:paraId="20687A0D" w14:textId="77777777" w:rsidR="00825628" w:rsidRDefault="00825628" w:rsidP="00825628">
      <w:pPr>
        <w:pStyle w:val="Odsekzoznamu"/>
        <w:numPr>
          <w:ilvl w:val="0"/>
          <w:numId w:val="2"/>
        </w:numPr>
        <w:tabs>
          <w:tab w:val="num" w:pos="720"/>
        </w:tabs>
        <w:contextualSpacing w:val="0"/>
        <w:jc w:val="both"/>
        <w:rPr>
          <w:b/>
        </w:rPr>
      </w:pPr>
      <w:r>
        <w:rPr>
          <w:b/>
        </w:rPr>
        <w:t>Plnenie rozpočtu mesta Šaľa k 31.12.2025 bez finančných operácií :</w:t>
      </w:r>
    </w:p>
    <w:p w14:paraId="631F04EF" w14:textId="77777777" w:rsidR="00825628" w:rsidRDefault="00825628" w:rsidP="00825628">
      <w:pPr>
        <w:pStyle w:val="Odsekzoznamu"/>
        <w:tabs>
          <w:tab w:val="num" w:pos="720"/>
        </w:tabs>
        <w:ind w:left="644"/>
        <w:jc w:val="both"/>
        <w:rPr>
          <w:b/>
        </w:rPr>
      </w:pPr>
    </w:p>
    <w:p w14:paraId="380D3837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plnenie bežných príjmov vo výške</w:t>
      </w:r>
      <w:r>
        <w:tab/>
        <w:t>28 470 276 EUR</w:t>
      </w:r>
    </w:p>
    <w:p w14:paraId="6E326554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čerpanie bežných výdavkov vo výške</w:t>
      </w:r>
      <w:r>
        <w:tab/>
        <w:t>27 522 208 EUR</w:t>
      </w:r>
    </w:p>
    <w:p w14:paraId="1E662F12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prebytok bežného rozpočtu</w:t>
      </w:r>
      <w:r>
        <w:tab/>
        <w:t>948 068 EUR</w:t>
      </w:r>
    </w:p>
    <w:p w14:paraId="51287A37" w14:textId="77777777" w:rsidR="00825628" w:rsidRDefault="00825628" w:rsidP="00825628">
      <w:pPr>
        <w:ind w:left="720"/>
        <w:jc w:val="both"/>
      </w:pPr>
    </w:p>
    <w:p w14:paraId="18E55E0F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plnenie kapitálových príjmov vo výške</w:t>
      </w:r>
      <w:r>
        <w:tab/>
        <w:t>3 046 849 EUR</w:t>
      </w:r>
    </w:p>
    <w:p w14:paraId="32562344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čerpanie kapitálových výdavkov vo výške</w:t>
      </w:r>
      <w:r>
        <w:tab/>
        <w:t xml:space="preserve">             3 462 598 EUR</w:t>
      </w:r>
    </w:p>
    <w:p w14:paraId="2D93BBED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schodok kapitálového rozpočtu</w:t>
      </w:r>
      <w:r>
        <w:tab/>
        <w:t>-415 749 EUR</w:t>
      </w:r>
    </w:p>
    <w:p w14:paraId="179D2CDF" w14:textId="77777777" w:rsidR="00825628" w:rsidRDefault="00825628" w:rsidP="00825628">
      <w:pPr>
        <w:ind w:left="360"/>
        <w:jc w:val="both"/>
      </w:pPr>
    </w:p>
    <w:p w14:paraId="03CF1C37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bežné a kapitálové príjmy vo výške</w:t>
      </w:r>
      <w:r>
        <w:tab/>
        <w:t xml:space="preserve">       31 517 125 EUR</w:t>
      </w:r>
    </w:p>
    <w:p w14:paraId="3B7A1C1C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bežné a kapitálové výdavky vo výške</w:t>
      </w:r>
      <w:r>
        <w:tab/>
        <w:t xml:space="preserve">30 984 806 </w:t>
      </w:r>
      <w:r>
        <w:rPr>
          <w:bCs/>
        </w:rPr>
        <w:t>EUR</w:t>
      </w:r>
    </w:p>
    <w:p w14:paraId="56952581" w14:textId="77777777" w:rsidR="00825628" w:rsidRDefault="00825628" w:rsidP="00825628">
      <w:pPr>
        <w:tabs>
          <w:tab w:val="right" w:pos="7513"/>
        </w:tabs>
        <w:ind w:left="720"/>
        <w:jc w:val="both"/>
        <w:rPr>
          <w:b/>
        </w:rPr>
      </w:pPr>
      <w:r>
        <w:rPr>
          <w:b/>
        </w:rPr>
        <w:t>prebytok rozpočtu</w:t>
      </w:r>
      <w:r>
        <w:rPr>
          <w:b/>
        </w:rPr>
        <w:tab/>
        <w:t>532 319 EUR</w:t>
      </w:r>
    </w:p>
    <w:p w14:paraId="32CC9CB5" w14:textId="77777777" w:rsidR="00825628" w:rsidRDefault="00825628" w:rsidP="00825628">
      <w:pPr>
        <w:jc w:val="both"/>
      </w:pPr>
    </w:p>
    <w:p w14:paraId="6EA4933C" w14:textId="77777777" w:rsidR="00825628" w:rsidRDefault="00825628" w:rsidP="00825628">
      <w:pPr>
        <w:jc w:val="both"/>
      </w:pPr>
    </w:p>
    <w:p w14:paraId="3AB14993" w14:textId="77777777" w:rsidR="00825628" w:rsidRDefault="00825628" w:rsidP="00825628">
      <w:pPr>
        <w:jc w:val="both"/>
      </w:pPr>
    </w:p>
    <w:p w14:paraId="3E607215" w14:textId="77777777" w:rsidR="00825628" w:rsidRDefault="00825628" w:rsidP="00825628">
      <w:pPr>
        <w:pStyle w:val="Odsekzoznamu"/>
        <w:numPr>
          <w:ilvl w:val="0"/>
          <w:numId w:val="2"/>
        </w:numPr>
        <w:tabs>
          <w:tab w:val="num" w:pos="720"/>
        </w:tabs>
        <w:contextualSpacing w:val="0"/>
        <w:jc w:val="both"/>
        <w:rPr>
          <w:b/>
        </w:rPr>
      </w:pPr>
      <w:r>
        <w:rPr>
          <w:b/>
        </w:rPr>
        <w:t xml:space="preserve">Plnenie rozpočtu mesta Šaľa k 31.12.2025 s finančnými operáciami: </w:t>
      </w:r>
    </w:p>
    <w:p w14:paraId="150555C4" w14:textId="77777777" w:rsidR="00825628" w:rsidRDefault="00825628" w:rsidP="00825628">
      <w:pPr>
        <w:tabs>
          <w:tab w:val="right" w:pos="7513"/>
        </w:tabs>
        <w:ind w:left="720"/>
        <w:jc w:val="both"/>
      </w:pPr>
    </w:p>
    <w:p w14:paraId="08B7F448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bežné a kapitálové príjmy vo výške</w:t>
      </w:r>
      <w:r>
        <w:tab/>
        <w:t xml:space="preserve">       31 517 125 EUR</w:t>
      </w:r>
    </w:p>
    <w:p w14:paraId="14232ADA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bežné a kapitálové výdavky vo výške</w:t>
      </w:r>
      <w:r>
        <w:tab/>
        <w:t xml:space="preserve">30 984 806 </w:t>
      </w:r>
      <w:r>
        <w:rPr>
          <w:bCs/>
        </w:rPr>
        <w:t>EUR</w:t>
      </w:r>
    </w:p>
    <w:p w14:paraId="242FA59E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prebytok rozpočtu</w:t>
      </w:r>
      <w:r>
        <w:tab/>
        <w:t>532 319 EUR</w:t>
      </w:r>
    </w:p>
    <w:p w14:paraId="52F16F9F" w14:textId="77777777" w:rsidR="00825628" w:rsidRDefault="00825628" w:rsidP="00825628">
      <w:pPr>
        <w:tabs>
          <w:tab w:val="right" w:pos="7513"/>
        </w:tabs>
        <w:ind w:left="720"/>
        <w:jc w:val="both"/>
      </w:pPr>
    </w:p>
    <w:p w14:paraId="1353FCB5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plnenie príjmových finančných operácií vo výške</w:t>
      </w:r>
      <w:r>
        <w:tab/>
        <w:t>828 241 EUR</w:t>
      </w:r>
    </w:p>
    <w:p w14:paraId="18126C58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čerpanie výdavkových finančných operácií vo výške</w:t>
      </w:r>
      <w:r>
        <w:tab/>
        <w:t>786 539 EUR</w:t>
      </w:r>
    </w:p>
    <w:p w14:paraId="15D3357A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schodok finančných operácií</w:t>
      </w:r>
      <w:r>
        <w:tab/>
        <w:t>41 702 EUR</w:t>
      </w:r>
    </w:p>
    <w:p w14:paraId="62B74410" w14:textId="77777777" w:rsidR="00825628" w:rsidRDefault="00825628" w:rsidP="00825628">
      <w:pPr>
        <w:ind w:left="360"/>
        <w:jc w:val="both"/>
        <w:rPr>
          <w:sz w:val="20"/>
          <w:szCs w:val="20"/>
        </w:rPr>
      </w:pPr>
    </w:p>
    <w:p w14:paraId="2BBB033D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plnenie celkových príjmov vo výške</w:t>
      </w:r>
      <w:r>
        <w:tab/>
        <w:t xml:space="preserve">32 345 366 EUR  </w:t>
      </w:r>
    </w:p>
    <w:p w14:paraId="40780471" w14:textId="77777777" w:rsidR="00825628" w:rsidRDefault="00825628" w:rsidP="00825628">
      <w:pPr>
        <w:tabs>
          <w:tab w:val="right" w:pos="7513"/>
        </w:tabs>
        <w:ind w:left="720"/>
        <w:jc w:val="both"/>
      </w:pPr>
      <w:r>
        <w:t>čerpanie celkových výdavkov vo výške</w:t>
      </w:r>
      <w:r>
        <w:tab/>
        <w:t xml:space="preserve">31 771 345 </w:t>
      </w:r>
      <w:r>
        <w:rPr>
          <w:bCs/>
        </w:rPr>
        <w:t>EUR</w:t>
      </w:r>
    </w:p>
    <w:p w14:paraId="574F2F40" w14:textId="77777777" w:rsidR="00825628" w:rsidRDefault="00825628" w:rsidP="00825628">
      <w:pPr>
        <w:tabs>
          <w:tab w:val="right" w:pos="7513"/>
        </w:tabs>
        <w:ind w:left="720"/>
        <w:jc w:val="both"/>
        <w:rPr>
          <w:b/>
        </w:rPr>
      </w:pPr>
      <w:r>
        <w:rPr>
          <w:b/>
        </w:rPr>
        <w:t>prebytok rozpočtového hospodárenia celkom</w:t>
      </w:r>
      <w:r>
        <w:rPr>
          <w:b/>
        </w:rPr>
        <w:tab/>
        <w:t>574 021 EUR</w:t>
      </w:r>
    </w:p>
    <w:p w14:paraId="13D4A00A" w14:textId="77777777" w:rsidR="00825628" w:rsidRDefault="00825628" w:rsidP="00825628">
      <w:pPr>
        <w:tabs>
          <w:tab w:val="right" w:pos="7513"/>
        </w:tabs>
        <w:ind w:left="720"/>
        <w:jc w:val="both"/>
        <w:rPr>
          <w:b/>
        </w:rPr>
      </w:pPr>
    </w:p>
    <w:p w14:paraId="5F0C67CA" w14:textId="77777777" w:rsidR="00825628" w:rsidRDefault="00825628" w:rsidP="00825628">
      <w:pPr>
        <w:pStyle w:val="Odsekzoznamu"/>
        <w:numPr>
          <w:ilvl w:val="0"/>
          <w:numId w:val="2"/>
        </w:numPr>
        <w:tabs>
          <w:tab w:val="num" w:pos="360"/>
        </w:tabs>
        <w:ind w:left="644"/>
        <w:contextualSpacing w:val="0"/>
        <w:jc w:val="both"/>
        <w:rPr>
          <w:b/>
        </w:rPr>
      </w:pPr>
      <w:r>
        <w:rPr>
          <w:b/>
        </w:rPr>
        <w:t xml:space="preserve">Vylúčenie účelovo viazaných finančných prostriedkov z  rozpočtového hospodárenia vo výške 449 896,21 EUR nasledovne: </w:t>
      </w:r>
    </w:p>
    <w:p w14:paraId="79F68726" w14:textId="77777777" w:rsidR="00825628" w:rsidRDefault="00825628" w:rsidP="00825628">
      <w:pPr>
        <w:pStyle w:val="Odsekzoznamu"/>
        <w:ind w:left="644"/>
        <w:jc w:val="both"/>
        <w:rPr>
          <w:b/>
          <w:color w:val="FF0000"/>
        </w:rPr>
      </w:pPr>
    </w:p>
    <w:p w14:paraId="01ABA3AF" w14:textId="77777777" w:rsidR="00825628" w:rsidRDefault="00825628" w:rsidP="00825628">
      <w:pPr>
        <w:ind w:left="851"/>
        <w:jc w:val="both"/>
        <w:rPr>
          <w:bCs/>
        </w:rPr>
      </w:pPr>
      <w:bookmarkStart w:id="2" w:name="_Hlk134603352"/>
      <w:r>
        <w:rPr>
          <w:bCs/>
        </w:rPr>
        <w:t>* 4 372,30 EUR - nevyčerpané finančné prostriedky z príspevku Obvodného úradu v Nitre na dopravné žiakov za rok 2025,</w:t>
      </w:r>
    </w:p>
    <w:p w14:paraId="30B33330" w14:textId="77777777" w:rsidR="00825628" w:rsidRDefault="00825628" w:rsidP="00825628">
      <w:pPr>
        <w:ind w:left="851"/>
        <w:jc w:val="both"/>
        <w:rPr>
          <w:bCs/>
        </w:rPr>
      </w:pPr>
      <w:r>
        <w:rPr>
          <w:bCs/>
        </w:rPr>
        <w:t>* 81 558,20 EUR – nevyčerpané finančné prostriedky z príspevku na stravné žiakov za rok 2025,</w:t>
      </w:r>
    </w:p>
    <w:p w14:paraId="65BF7E45" w14:textId="77777777" w:rsidR="00825628" w:rsidRDefault="00825628" w:rsidP="00825628">
      <w:pPr>
        <w:ind w:left="851"/>
        <w:jc w:val="both"/>
      </w:pPr>
      <w:r>
        <w:rPr>
          <w:bCs/>
        </w:rPr>
        <w:t xml:space="preserve">* 107 266,00 EUR - nevyčerpaná časť finančných prostriedkov </w:t>
      </w:r>
      <w:r>
        <w:t>z  MŠVV SR na prenesené kompetencie školstva</w:t>
      </w:r>
      <w:r>
        <w:rPr>
          <w:bCs/>
        </w:rPr>
        <w:t xml:space="preserve">, </w:t>
      </w:r>
      <w:r>
        <w:t xml:space="preserve"> </w:t>
      </w:r>
    </w:p>
    <w:p w14:paraId="7E5C18FF" w14:textId="77777777" w:rsidR="00825628" w:rsidRDefault="00825628" w:rsidP="00825628">
      <w:pPr>
        <w:ind w:left="851"/>
        <w:jc w:val="both"/>
      </w:pPr>
      <w:r>
        <w:t>* 92 000,00 EUR – nevyčerpaná dotácia na riešenie havarijného stavu sociálnych zariadení v ZŠ s MŠ J. Murgaša,</w:t>
      </w:r>
    </w:p>
    <w:p w14:paraId="2E37D91C" w14:textId="77777777" w:rsidR="00825628" w:rsidRDefault="00825628" w:rsidP="00825628">
      <w:pPr>
        <w:ind w:left="851"/>
        <w:jc w:val="both"/>
      </w:pPr>
      <w:r>
        <w:t>* 13 012,00 EUR – nevyčerpaná dotácia z </w:t>
      </w:r>
      <w:proofErr w:type="spellStart"/>
      <w:r>
        <w:t>Enviromentálneho</w:t>
      </w:r>
      <w:proofErr w:type="spellEnd"/>
      <w:r>
        <w:t xml:space="preserve"> fondu na výstavbu altánku v  MŠ 8. mája,  </w:t>
      </w:r>
    </w:p>
    <w:p w14:paraId="2F90E55C" w14:textId="77777777" w:rsidR="00825628" w:rsidRDefault="00825628" w:rsidP="00825628">
      <w:pPr>
        <w:ind w:left="851"/>
        <w:jc w:val="both"/>
      </w:pPr>
      <w:r>
        <w:t>* 9 895,00 EUR – nevyčerpaná dotácia z </w:t>
      </w:r>
      <w:proofErr w:type="spellStart"/>
      <w:r>
        <w:t>Enviromentálneho</w:t>
      </w:r>
      <w:proofErr w:type="spellEnd"/>
      <w:r>
        <w:t xml:space="preserve"> fondu na vybavenie učebne – zelené vzdelávanie v ZŠ J. Hollého,  </w:t>
      </w:r>
    </w:p>
    <w:p w14:paraId="64BBBA42" w14:textId="77777777" w:rsidR="00825628" w:rsidRDefault="00825628" w:rsidP="00825628">
      <w:pPr>
        <w:ind w:left="851"/>
        <w:jc w:val="both"/>
      </w:pPr>
      <w:r>
        <w:t>* 46 863,32 EUR – finančné prostriedky na účtoch školských jedální na zakúpenie potravín,</w:t>
      </w:r>
    </w:p>
    <w:p w14:paraId="10E56CE4" w14:textId="77777777" w:rsidR="00825628" w:rsidRDefault="00825628" w:rsidP="00825628">
      <w:pPr>
        <w:ind w:left="851"/>
        <w:jc w:val="both"/>
      </w:pPr>
      <w:r>
        <w:t xml:space="preserve">* 48 918,40 EUR – finančné prostriedky na účte jedálne domova dôchodcov na zakúpenie potravín, </w:t>
      </w:r>
    </w:p>
    <w:p w14:paraId="4C8F246B" w14:textId="77777777" w:rsidR="00825628" w:rsidRDefault="00825628" w:rsidP="00825628">
      <w:pPr>
        <w:ind w:left="851"/>
        <w:jc w:val="both"/>
      </w:pPr>
      <w:r>
        <w:t>* 1 603,00 EUR – nevyčerpaná osobitná dotácia z Audiovizuálneho fondu pre potreby MsKS,</w:t>
      </w:r>
    </w:p>
    <w:p w14:paraId="2A75028D" w14:textId="77777777" w:rsidR="00825628" w:rsidRDefault="00825628" w:rsidP="00825628">
      <w:pPr>
        <w:ind w:left="851"/>
        <w:jc w:val="both"/>
        <w:rPr>
          <w:bCs/>
        </w:rPr>
      </w:pPr>
      <w:r>
        <w:t>* 9 063,27 EUR – nevyčerpaná osobitná dotácia z Audiovizuálneho fondu určená na zakúpenie premietacieho zariadenia,</w:t>
      </w:r>
    </w:p>
    <w:p w14:paraId="65EFA15B" w14:textId="77777777" w:rsidR="00825628" w:rsidRDefault="00825628" w:rsidP="00825628">
      <w:pPr>
        <w:ind w:left="851"/>
        <w:jc w:val="both"/>
      </w:pPr>
      <w:r>
        <w:t>* 8 610,88 EUR - účelovo určené prostriedky v príjmových finančných operáciách na zábezpeky, ktoré mesto prijalo od nájomníkom v mestských bytoch a pri ukončení nájomného vzťahu ich vrátilo,</w:t>
      </w:r>
    </w:p>
    <w:p w14:paraId="350DFA7F" w14:textId="77777777" w:rsidR="00825628" w:rsidRDefault="00825628" w:rsidP="00825628">
      <w:pPr>
        <w:ind w:left="851"/>
        <w:jc w:val="both"/>
        <w:rPr>
          <w:bCs/>
        </w:rPr>
      </w:pPr>
      <w:r>
        <w:t xml:space="preserve">* </w:t>
      </w:r>
      <w:r>
        <w:rPr>
          <w:bCs/>
        </w:rPr>
        <w:t xml:space="preserve">26 733,84 EUR – účelovo viazané prostriedky na tvorbu fondu opráv a údržby, ktorý je mesto povinné tvoriť v zmysle zákona č. 443/2010 </w:t>
      </w:r>
      <w:proofErr w:type="spellStart"/>
      <w:r>
        <w:rPr>
          <w:bCs/>
        </w:rPr>
        <w:t>Z.z</w:t>
      </w:r>
      <w:proofErr w:type="spellEnd"/>
      <w:r>
        <w:rPr>
          <w:bCs/>
        </w:rPr>
        <w:t xml:space="preserve">. </w:t>
      </w:r>
    </w:p>
    <w:bookmarkEnd w:id="2"/>
    <w:p w14:paraId="744FBD30" w14:textId="77777777" w:rsidR="00825628" w:rsidRDefault="00825628" w:rsidP="00825628">
      <w:pPr>
        <w:ind w:left="851"/>
        <w:jc w:val="both"/>
      </w:pPr>
    </w:p>
    <w:p w14:paraId="3219DF96" w14:textId="77777777" w:rsidR="00825628" w:rsidRDefault="00825628" w:rsidP="00825628">
      <w:pPr>
        <w:numPr>
          <w:ilvl w:val="0"/>
          <w:numId w:val="3"/>
        </w:numPr>
        <w:ind w:left="720"/>
        <w:jc w:val="both"/>
        <w:rPr>
          <w:b/>
        </w:rPr>
      </w:pPr>
      <w:r>
        <w:rPr>
          <w:b/>
          <w:bCs/>
        </w:rPr>
        <w:t xml:space="preserve">Prebytok rozpočtu vo výške 532 318,76 EUR (po vylúčení účelovo určených prostriedkov bežného a kapitálového rozpočtu) a prebytok finančných operácií vo výške 41 702,19 EUR (po vylúčení účelovo určených prostriedkoch z finančných operácii) sa vo výške 124 124,74 EUR </w:t>
      </w:r>
      <w:r>
        <w:rPr>
          <w:b/>
        </w:rPr>
        <w:t xml:space="preserve">pridelí </w:t>
      </w:r>
      <w:r>
        <w:rPr>
          <w:b/>
          <w:bCs/>
        </w:rPr>
        <w:t xml:space="preserve">do rezervného fondu. </w:t>
      </w:r>
    </w:p>
    <w:p w14:paraId="25A34ECB" w14:textId="77777777" w:rsidR="00825628" w:rsidRDefault="00825628" w:rsidP="00825628">
      <w:pPr>
        <w:ind w:left="720"/>
        <w:jc w:val="both"/>
        <w:rPr>
          <w:b/>
        </w:rPr>
      </w:pPr>
    </w:p>
    <w:p w14:paraId="0512784C" w14:textId="77777777" w:rsidR="00825628" w:rsidRDefault="00825628" w:rsidP="00825628">
      <w:pPr>
        <w:jc w:val="both"/>
        <w:rPr>
          <w:b/>
          <w:bCs/>
        </w:rPr>
      </w:pPr>
      <w:r>
        <w:rPr>
          <w:b/>
          <w:bCs/>
        </w:rPr>
        <w:tab/>
      </w:r>
    </w:p>
    <w:p w14:paraId="309DB814" w14:textId="77777777" w:rsidR="00825628" w:rsidRDefault="00825628" w:rsidP="00825628">
      <w:pPr>
        <w:pStyle w:val="Odsekzoznamu"/>
        <w:spacing w:after="120"/>
        <w:ind w:left="360"/>
        <w:jc w:val="both"/>
        <w:rPr>
          <w:b/>
          <w:bCs/>
        </w:rPr>
      </w:pPr>
      <w:r>
        <w:rPr>
          <w:b/>
          <w:bCs/>
        </w:rPr>
        <w:lastRenderedPageBreak/>
        <w:t>5. Vysporiadanie výsledku hospodárenia príspevkovej organizácie OSS v zriaďovateľskej pôsobnosti mesta Šaľa nasledovne:</w:t>
      </w:r>
    </w:p>
    <w:p w14:paraId="2DABA125" w14:textId="77777777" w:rsidR="00825628" w:rsidRDefault="00825628" w:rsidP="00825628">
      <w:pPr>
        <w:ind w:left="709"/>
        <w:jc w:val="both"/>
        <w:rPr>
          <w:bCs/>
        </w:rPr>
      </w:pPr>
      <w:r>
        <w:rPr>
          <w:b/>
          <w:bCs/>
        </w:rPr>
        <w:t xml:space="preserve">a) prerokovalo </w:t>
      </w:r>
      <w:r>
        <w:rPr>
          <w:bCs/>
        </w:rPr>
        <w:t>rozbor hospodárenia a účtovnú závierku OSS mesta Šaľa za rok 2025,</w:t>
      </w:r>
    </w:p>
    <w:p w14:paraId="2C51E607" w14:textId="77777777" w:rsidR="00825628" w:rsidRDefault="00825628" w:rsidP="00825628">
      <w:pPr>
        <w:ind w:left="709"/>
        <w:jc w:val="both"/>
        <w:rPr>
          <w:bCs/>
        </w:rPr>
      </w:pPr>
      <w:r>
        <w:rPr>
          <w:b/>
          <w:bCs/>
        </w:rPr>
        <w:t xml:space="preserve">b) schvaľuje </w:t>
      </w:r>
      <w:r>
        <w:rPr>
          <w:bCs/>
        </w:rPr>
        <w:t>ročnú účtovnú závierku OSS mesta Šaľa ku dňu 31.12.2025,</w:t>
      </w:r>
    </w:p>
    <w:p w14:paraId="5CF26F5C" w14:textId="77777777" w:rsidR="00825628" w:rsidRDefault="00825628" w:rsidP="00825628">
      <w:pPr>
        <w:ind w:firstLine="708"/>
        <w:jc w:val="both"/>
        <w:outlineLvl w:val="0"/>
        <w:rPr>
          <w:lang w:eastAsia="cs-CZ"/>
        </w:rPr>
      </w:pPr>
      <w:r>
        <w:rPr>
          <w:b/>
          <w:bCs/>
        </w:rPr>
        <w:t xml:space="preserve">c) berie na vedomie </w:t>
      </w:r>
      <w:r>
        <w:rPr>
          <w:lang w:eastAsia="cs-CZ"/>
        </w:rPr>
        <w:t xml:space="preserve">výsledok hospodárenia OSS za rok 2025 zisk vo výške    56 564,22 EUR a v súlade s ustanovením § 24 zákona č. 523/2004 </w:t>
      </w:r>
      <w:proofErr w:type="spellStart"/>
      <w:r>
        <w:rPr>
          <w:lang w:eastAsia="cs-CZ"/>
        </w:rPr>
        <w:t>Z.z</w:t>
      </w:r>
      <w:proofErr w:type="spellEnd"/>
      <w:r>
        <w:rPr>
          <w:lang w:eastAsia="cs-CZ"/>
        </w:rPr>
        <w:t>. o rozpočtových pravidlách verejnej správy v znení neskorších predpisov zúčtovanie finančných vzťahov OSS za rozpočtový rok 2025 s rozpočtom zriaďovateľa použitím kladného hospodárskeho výsledku v čiastke 56 564,22 EUR na vysporiadanie záporného hospodárskeho výsledku predchádzajúcich účtovných období.</w:t>
      </w:r>
    </w:p>
    <w:p w14:paraId="5BA70DF0" w14:textId="77777777" w:rsidR="00825628" w:rsidRDefault="00825628" w:rsidP="00825628">
      <w:pPr>
        <w:ind w:firstLine="708"/>
        <w:jc w:val="both"/>
        <w:rPr>
          <w:color w:val="FF0000"/>
        </w:rPr>
      </w:pPr>
      <w:r>
        <w:rPr>
          <w:color w:val="FF0000"/>
        </w:rPr>
        <w:t>.</w:t>
      </w:r>
    </w:p>
    <w:p w14:paraId="32CE9125" w14:textId="77777777" w:rsidR="00825628" w:rsidRDefault="00825628" w:rsidP="00825628">
      <w:pPr>
        <w:ind w:firstLine="708"/>
        <w:jc w:val="both"/>
        <w:rPr>
          <w:color w:val="FF0000"/>
        </w:rPr>
      </w:pPr>
    </w:p>
    <w:p w14:paraId="39A313EE" w14:textId="77777777" w:rsidR="00825628" w:rsidRDefault="00825628" w:rsidP="00825628">
      <w:pPr>
        <w:ind w:firstLine="708"/>
        <w:jc w:val="both"/>
        <w:rPr>
          <w:color w:val="FF0000"/>
        </w:rPr>
      </w:pPr>
      <w:r>
        <w:rPr>
          <w:color w:val="FF0000"/>
        </w:rPr>
        <w:t>.</w:t>
      </w:r>
    </w:p>
    <w:p w14:paraId="404062FC" w14:textId="77777777" w:rsidR="00825628" w:rsidRDefault="00825628" w:rsidP="00825628">
      <w:pPr>
        <w:ind w:firstLine="708"/>
        <w:jc w:val="both"/>
      </w:pPr>
    </w:p>
    <w:p w14:paraId="01222901" w14:textId="77777777" w:rsidR="00825628" w:rsidRDefault="00825628" w:rsidP="00825628">
      <w:pPr>
        <w:rPr>
          <w:bCs/>
        </w:rPr>
      </w:pPr>
    </w:p>
    <w:p w14:paraId="168BBB78" w14:textId="77777777" w:rsidR="00825628" w:rsidRDefault="00825628" w:rsidP="00825628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berie na vedomie</w:t>
      </w:r>
    </w:p>
    <w:p w14:paraId="09A3B59A" w14:textId="77777777" w:rsidR="00825628" w:rsidRDefault="00825628" w:rsidP="00825628">
      <w:pPr>
        <w:widowControl w:val="0"/>
        <w:suppressAutoHyphens/>
        <w:ind w:left="360"/>
        <w:jc w:val="both"/>
      </w:pPr>
      <w:r>
        <w:t>odborné stanovisko hlavnej kontrolórky k návrhu záverečného účtu mesta Šaľa za rok 2025,</w:t>
      </w:r>
    </w:p>
    <w:p w14:paraId="687A8D1A" w14:textId="77777777" w:rsidR="00825628" w:rsidRDefault="00825628" w:rsidP="00825628">
      <w:pPr>
        <w:widowControl w:val="0"/>
        <w:suppressAutoHyphens/>
        <w:ind w:left="360"/>
        <w:jc w:val="both"/>
      </w:pPr>
    </w:p>
    <w:p w14:paraId="408410D3" w14:textId="77777777" w:rsidR="00825628" w:rsidRDefault="00825628" w:rsidP="00825628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schvaľuje</w:t>
      </w:r>
    </w:p>
    <w:p w14:paraId="25863FE0" w14:textId="77777777" w:rsidR="00825628" w:rsidRDefault="00825628" w:rsidP="00825628">
      <w:pPr>
        <w:ind w:left="360"/>
        <w:jc w:val="both"/>
      </w:pPr>
      <w:r>
        <w:rPr>
          <w:bCs/>
        </w:rPr>
        <w:t>celoročné hospodárenie mesta Šaľa za rok 2025 bez výhrad.</w:t>
      </w:r>
    </w:p>
    <w:p w14:paraId="2A4D4A52" w14:textId="77777777" w:rsidR="00825628" w:rsidRDefault="00825628" w:rsidP="00825628">
      <w:pPr>
        <w:pStyle w:val="Zkladntext"/>
        <w:rPr>
          <w:b/>
        </w:rPr>
      </w:pPr>
    </w:p>
    <w:p w14:paraId="7228EC60" w14:textId="77777777" w:rsidR="00825628" w:rsidRDefault="00825628" w:rsidP="00825628">
      <w:pPr>
        <w:pStyle w:val="Zkladntext"/>
        <w:rPr>
          <w:b/>
        </w:rPr>
      </w:pPr>
    </w:p>
    <w:p w14:paraId="27010EBF" w14:textId="77777777" w:rsidR="00825628" w:rsidRDefault="00825628" w:rsidP="00825628">
      <w:pPr>
        <w:pStyle w:val="Zkladntext"/>
        <w:rPr>
          <w:b/>
        </w:rPr>
      </w:pPr>
    </w:p>
    <w:p w14:paraId="6E9F7034" w14:textId="77777777" w:rsidR="00825628" w:rsidRDefault="00825628" w:rsidP="00825628">
      <w:pPr>
        <w:pStyle w:val="Zkladntext"/>
        <w:rPr>
          <w:b/>
        </w:rPr>
      </w:pPr>
    </w:p>
    <w:p w14:paraId="75A06B48" w14:textId="77777777" w:rsidR="00825628" w:rsidRDefault="00825628" w:rsidP="00825628">
      <w:pPr>
        <w:pStyle w:val="Zkladntext"/>
        <w:rPr>
          <w:b/>
        </w:rPr>
      </w:pPr>
    </w:p>
    <w:p w14:paraId="264094AE" w14:textId="77777777" w:rsidR="00825628" w:rsidRDefault="00825628" w:rsidP="00825628">
      <w:pPr>
        <w:pStyle w:val="Zkladntext"/>
        <w:rPr>
          <w:b/>
        </w:rPr>
      </w:pPr>
    </w:p>
    <w:p w14:paraId="1694A3DE" w14:textId="77777777" w:rsidR="00825628" w:rsidRDefault="00825628" w:rsidP="00825628">
      <w:pPr>
        <w:pStyle w:val="Zkladntext"/>
        <w:rPr>
          <w:b/>
        </w:rPr>
      </w:pPr>
    </w:p>
    <w:p w14:paraId="5F5F2827" w14:textId="77777777" w:rsidR="00825628" w:rsidRDefault="00825628" w:rsidP="00825628">
      <w:pPr>
        <w:pStyle w:val="Zkladntext"/>
        <w:rPr>
          <w:b/>
        </w:rPr>
      </w:pPr>
    </w:p>
    <w:p w14:paraId="60945C53" w14:textId="77777777" w:rsidR="00825628" w:rsidRDefault="00825628" w:rsidP="00825628">
      <w:pPr>
        <w:pStyle w:val="Zkladntext"/>
        <w:rPr>
          <w:b/>
        </w:rPr>
      </w:pPr>
    </w:p>
    <w:p w14:paraId="36A6B52B" w14:textId="77777777" w:rsidR="00825628" w:rsidRDefault="00825628" w:rsidP="00825628">
      <w:pPr>
        <w:pStyle w:val="Zkladntext"/>
        <w:rPr>
          <w:b/>
        </w:rPr>
      </w:pPr>
    </w:p>
    <w:p w14:paraId="3481045E" w14:textId="77777777" w:rsidR="00825628" w:rsidRDefault="00825628" w:rsidP="00825628">
      <w:pPr>
        <w:pStyle w:val="Zkladntext"/>
        <w:rPr>
          <w:b/>
        </w:rPr>
      </w:pPr>
    </w:p>
    <w:p w14:paraId="54916A81" w14:textId="77777777" w:rsidR="00825628" w:rsidRDefault="00825628" w:rsidP="00825628">
      <w:pPr>
        <w:pStyle w:val="Zkladntext"/>
        <w:rPr>
          <w:b/>
        </w:rPr>
      </w:pPr>
    </w:p>
    <w:p w14:paraId="69AFC754" w14:textId="77777777" w:rsidR="00825628" w:rsidRDefault="00825628" w:rsidP="00825628">
      <w:pPr>
        <w:pStyle w:val="Zkladntext"/>
        <w:rPr>
          <w:b/>
        </w:rPr>
      </w:pPr>
      <w:r>
        <w:rPr>
          <w:b/>
        </w:rPr>
        <w:t>Spracoval: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Predkladá:</w:t>
      </w:r>
    </w:p>
    <w:p w14:paraId="177ED402" w14:textId="77777777" w:rsidR="00825628" w:rsidRDefault="00825628" w:rsidP="00825628">
      <w:pPr>
        <w:pStyle w:val="Zkladntext"/>
      </w:pPr>
      <w:r>
        <w:t xml:space="preserve">Ing. Jana Kováčiková                                                          Ing. Jana </w:t>
      </w:r>
      <w:proofErr w:type="spellStart"/>
      <w:r>
        <w:t>Nitrayová</w:t>
      </w:r>
      <w:proofErr w:type="spellEnd"/>
    </w:p>
    <w:p w14:paraId="7798192E" w14:textId="77777777" w:rsidR="00825628" w:rsidRDefault="00825628" w:rsidP="00825628">
      <w:pPr>
        <w:pStyle w:val="Zkladntext"/>
      </w:pPr>
      <w:r>
        <w:t xml:space="preserve">rozpočtár a analytik                                                             prednostka MsÚ </w:t>
      </w:r>
    </w:p>
    <w:p w14:paraId="210AEC5A" w14:textId="77777777" w:rsidR="00825628" w:rsidRDefault="00825628" w:rsidP="00825628">
      <w:pPr>
        <w:pStyle w:val="Zkladntext"/>
        <w:rPr>
          <w:i/>
        </w:rPr>
      </w:pPr>
      <w:r>
        <w:t xml:space="preserve">Mgr. Jana </w:t>
      </w:r>
      <w:proofErr w:type="spellStart"/>
      <w:r>
        <w:t>Belovičová</w:t>
      </w:r>
      <w:proofErr w:type="spellEnd"/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Ing. Martina </w:t>
      </w:r>
      <w:proofErr w:type="spellStart"/>
      <w:r>
        <w:t>Bartošovičová</w:t>
      </w:r>
      <w:proofErr w:type="spellEnd"/>
      <w:r>
        <w:rPr>
          <w:i/>
        </w:rPr>
        <w:t xml:space="preserve">  </w:t>
      </w:r>
    </w:p>
    <w:p w14:paraId="3B1A0F3D" w14:textId="77777777" w:rsidR="00825628" w:rsidRDefault="00825628" w:rsidP="00825628">
      <w:pPr>
        <w:pStyle w:val="Zkladntext"/>
        <w:rPr>
          <w:iCs/>
        </w:rPr>
      </w:pPr>
      <w:r>
        <w:t>hlavná účtovníčka</w:t>
      </w:r>
      <w:r>
        <w:tab/>
        <w:t>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</w:t>
      </w:r>
      <w:r>
        <w:rPr>
          <w:iCs/>
        </w:rPr>
        <w:t xml:space="preserve"> hlavná kontrolórka</w:t>
      </w:r>
    </w:p>
    <w:p w14:paraId="71C76921" w14:textId="77777777" w:rsidR="00825628" w:rsidRDefault="00825628" w:rsidP="00825628">
      <w:pPr>
        <w:pStyle w:val="Zkladntext"/>
      </w:pPr>
      <w:r>
        <w:t>kolektív zamestnancov mestského úradu a</w:t>
      </w:r>
      <w:r>
        <w:tab/>
      </w:r>
      <w:r>
        <w:tab/>
      </w:r>
      <w:r>
        <w:tab/>
      </w:r>
    </w:p>
    <w:p w14:paraId="0A190C41" w14:textId="77777777" w:rsidR="00825628" w:rsidRDefault="00825628" w:rsidP="00825628">
      <w:pPr>
        <w:pStyle w:val="Zkladntext"/>
      </w:pPr>
      <w:r>
        <w:t>príspevkovej a rozpočtových organizácií</w:t>
      </w:r>
    </w:p>
    <w:p w14:paraId="7DF7D76D" w14:textId="77777777" w:rsidR="00825628" w:rsidRDefault="00825628" w:rsidP="00825628">
      <w:pPr>
        <w:pStyle w:val="Zkladntext"/>
      </w:pPr>
      <w:r>
        <w:t>mesta Šaľa</w:t>
      </w:r>
      <w:r>
        <w:tab/>
      </w:r>
      <w:r>
        <w:tab/>
        <w:t xml:space="preserve">  </w:t>
      </w:r>
      <w:r>
        <w:tab/>
      </w:r>
      <w:r>
        <w:tab/>
      </w:r>
      <w:r>
        <w:tab/>
      </w:r>
    </w:p>
    <w:p w14:paraId="28106B2F" w14:textId="77777777" w:rsidR="00825628" w:rsidRDefault="00825628" w:rsidP="00825628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ECA3D9" w14:textId="77777777" w:rsidR="00825628" w:rsidRDefault="00825628" w:rsidP="00825628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567108" w14:textId="77777777" w:rsidR="00825628" w:rsidRDefault="00825628" w:rsidP="00825628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</w:p>
    <w:p w14:paraId="143B1866" w14:textId="77777777" w:rsidR="00825628" w:rsidRDefault="00825628" w:rsidP="00825628">
      <w:pPr>
        <w:pStyle w:val="Zkladntext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3A23C863" w14:textId="77777777" w:rsidR="00825628" w:rsidRDefault="00825628" w:rsidP="00825628"/>
    <w:p w14:paraId="09CB54CF" w14:textId="77777777" w:rsidR="00825628" w:rsidRDefault="00825628" w:rsidP="00825628"/>
    <w:p w14:paraId="588150AE" w14:textId="77777777" w:rsidR="00825628" w:rsidRDefault="00825628" w:rsidP="00825628"/>
    <w:p w14:paraId="740107FD" w14:textId="77777777" w:rsidR="00825628" w:rsidRDefault="00825628" w:rsidP="00825628">
      <w:r>
        <w:t>Predložené mestskému zastupiteľstvu 25. júna 2026</w:t>
      </w:r>
      <w:bookmarkEnd w:id="1"/>
    </w:p>
    <w:p w14:paraId="4ECA15C4" w14:textId="77777777" w:rsidR="009B42F7" w:rsidRDefault="009B42F7"/>
    <w:sectPr w:rsidR="009B4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7B61"/>
    <w:multiLevelType w:val="hybridMultilevel"/>
    <w:tmpl w:val="96DE373A"/>
    <w:lvl w:ilvl="0" w:tplc="0926596A">
      <w:start w:val="1"/>
      <w:numFmt w:val="upperLetter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86B73"/>
    <w:multiLevelType w:val="hybridMultilevel"/>
    <w:tmpl w:val="A238C430"/>
    <w:lvl w:ilvl="0" w:tplc="041B000F">
      <w:start w:val="1"/>
      <w:numFmt w:val="decimal"/>
      <w:lvlText w:val="%1."/>
      <w:lvlJc w:val="left"/>
      <w:pPr>
        <w:ind w:left="786" w:hanging="360"/>
      </w:pPr>
      <w:rPr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658" w:hanging="360"/>
      </w:pPr>
    </w:lvl>
    <w:lvl w:ilvl="2" w:tplc="041B001B">
      <w:start w:val="1"/>
      <w:numFmt w:val="lowerRoman"/>
      <w:lvlText w:val="%3."/>
      <w:lvlJc w:val="right"/>
      <w:pPr>
        <w:ind w:left="2378" w:hanging="180"/>
      </w:pPr>
    </w:lvl>
    <w:lvl w:ilvl="3" w:tplc="041B000F">
      <w:start w:val="1"/>
      <w:numFmt w:val="decimal"/>
      <w:lvlText w:val="%4."/>
      <w:lvlJc w:val="left"/>
      <w:pPr>
        <w:ind w:left="3098" w:hanging="360"/>
      </w:pPr>
    </w:lvl>
    <w:lvl w:ilvl="4" w:tplc="041B0019">
      <w:start w:val="1"/>
      <w:numFmt w:val="lowerLetter"/>
      <w:lvlText w:val="%5."/>
      <w:lvlJc w:val="left"/>
      <w:pPr>
        <w:ind w:left="3818" w:hanging="360"/>
      </w:pPr>
    </w:lvl>
    <w:lvl w:ilvl="5" w:tplc="041B001B">
      <w:start w:val="1"/>
      <w:numFmt w:val="lowerRoman"/>
      <w:lvlText w:val="%6."/>
      <w:lvlJc w:val="right"/>
      <w:pPr>
        <w:ind w:left="4538" w:hanging="180"/>
      </w:pPr>
    </w:lvl>
    <w:lvl w:ilvl="6" w:tplc="041B000F">
      <w:start w:val="1"/>
      <w:numFmt w:val="decimal"/>
      <w:lvlText w:val="%7."/>
      <w:lvlJc w:val="left"/>
      <w:pPr>
        <w:ind w:left="5258" w:hanging="360"/>
      </w:pPr>
    </w:lvl>
    <w:lvl w:ilvl="7" w:tplc="041B0019">
      <w:start w:val="1"/>
      <w:numFmt w:val="lowerLetter"/>
      <w:lvlText w:val="%8."/>
      <w:lvlJc w:val="left"/>
      <w:pPr>
        <w:ind w:left="5978" w:hanging="360"/>
      </w:pPr>
    </w:lvl>
    <w:lvl w:ilvl="8" w:tplc="041B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D08765D"/>
    <w:multiLevelType w:val="hybridMultilevel"/>
    <w:tmpl w:val="9C5E5300"/>
    <w:lvl w:ilvl="0" w:tplc="89947C62">
      <w:start w:val="4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1D53CC"/>
    <w:multiLevelType w:val="hybridMultilevel"/>
    <w:tmpl w:val="BE50BA40"/>
    <w:lvl w:ilvl="0" w:tplc="37C88296">
      <w:start w:val="3"/>
      <w:numFmt w:val="upperLetter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5321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599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75058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320986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A0"/>
    <w:rsid w:val="003D2C5A"/>
    <w:rsid w:val="00825628"/>
    <w:rsid w:val="008F162C"/>
    <w:rsid w:val="009B42F7"/>
    <w:rsid w:val="00B1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4417D-28D3-4FB2-8E2C-A84F76BE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628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B17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7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7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7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77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77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77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77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17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7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7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77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77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77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77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77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77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17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B1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7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7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77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177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77A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77A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77A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unhideWhenUsed/>
    <w:rsid w:val="00825628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825628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Kovacikova</dc:creator>
  <cp:keywords/>
  <dc:description/>
  <cp:lastModifiedBy>Jana Kovacikova</cp:lastModifiedBy>
  <cp:revision>2</cp:revision>
  <dcterms:created xsi:type="dcterms:W3CDTF">2026-06-10T07:14:00Z</dcterms:created>
  <dcterms:modified xsi:type="dcterms:W3CDTF">2026-06-10T07:15:00Z</dcterms:modified>
</cp:coreProperties>
</file>